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“机电一体化数字孪生技术应用”赛项培训班的通知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kern w:val="2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</w:t>
      </w:r>
      <w:bookmarkStart w:id="0" w:name="OLE_LINK2"/>
      <w:bookmarkStart w:id="1" w:name="OLE_LINK1"/>
      <w:bookmarkStart w:id="2" w:name="OLE_LINK3"/>
      <w:bookmarkStart w:id="3" w:name="OLE_LINK4"/>
      <w:r>
        <w:rPr>
          <w:rFonts w:hint="eastAsia" w:hAnsi="宋体"/>
          <w:sz w:val="30"/>
          <w:szCs w:val="30"/>
        </w:rPr>
        <w:t>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bookmarkEnd w:id="0"/>
      <w:bookmarkEnd w:id="1"/>
      <w:bookmarkEnd w:id="2"/>
      <w:bookmarkEnd w:id="3"/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机电一体化数字孪生技术应用</w:t>
      </w:r>
      <w:r>
        <w:rPr>
          <w:rFonts w:hint="eastAsia" w:hAnsi="宋体"/>
          <w:sz w:val="30"/>
          <w:szCs w:val="30"/>
        </w:rPr>
        <w:t>”赛项培训班（“机电一体化数字孪生技术应用”是本届18个赛项之一），对准备参赛的教师进行竞赛规则、比赛要求和赛项平台技术等赛前辅导。现将培训班有关事项通知如下：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（3）围绕“机电一体化数字孪生技术应用”赛项，讲解机械系统的组成、控制柜的功能、PLC和触摸屏的使用方法及编程技巧等，详细介绍赛项平台的各功能组成模块功能及使用。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（4）结合“机电一体化数字孪生技术应用</w:t>
      </w:r>
      <w:r>
        <w:rPr>
          <w:rFonts w:hAnsi="宋体"/>
          <w:sz w:val="30"/>
          <w:szCs w:val="30"/>
        </w:rPr>
        <w:t>”</w:t>
      </w:r>
      <w:r>
        <w:rPr>
          <w:rFonts w:hint="eastAsia" w:hAnsi="宋体"/>
          <w:sz w:val="30"/>
          <w:szCs w:val="30"/>
        </w:rPr>
        <w:t>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连接、启动，设备</w:t>
      </w:r>
      <w:r>
        <w:rPr>
          <w:rFonts w:hAnsi="宋体"/>
          <w:sz w:val="30"/>
          <w:szCs w:val="30"/>
        </w:rPr>
        <w:t>软硬件</w:t>
      </w:r>
      <w:r>
        <w:rPr>
          <w:rFonts w:hint="eastAsia" w:hAnsi="宋体"/>
          <w:sz w:val="30"/>
          <w:szCs w:val="30"/>
        </w:rPr>
        <w:t>安装与参数</w:t>
      </w:r>
      <w:r>
        <w:rPr>
          <w:rFonts w:hAnsi="宋体"/>
          <w:sz w:val="30"/>
          <w:szCs w:val="30"/>
        </w:rPr>
        <w:t>配置</w:t>
      </w:r>
      <w:r>
        <w:rPr>
          <w:rFonts w:hint="eastAsia" w:hAnsi="宋体"/>
          <w:sz w:val="30"/>
          <w:szCs w:val="30"/>
        </w:rPr>
        <w:t>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与联动，排除故障等。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（5）围绕“机电一体化数字孪生技术应用</w:t>
      </w:r>
      <w:r>
        <w:rPr>
          <w:rFonts w:hAnsi="宋体"/>
          <w:sz w:val="30"/>
          <w:szCs w:val="30"/>
        </w:rPr>
        <w:t>”</w:t>
      </w:r>
      <w:r>
        <w:rPr>
          <w:rFonts w:hint="eastAsia" w:hAnsi="宋体"/>
          <w:sz w:val="30"/>
          <w:szCs w:val="30"/>
        </w:rPr>
        <w:t>的应用，讲授PLC编程、HMI功能设计等电气技术、数字样机控制特性设计、数字样机与</w:t>
      </w:r>
      <w:r>
        <w:rPr>
          <w:rFonts w:hAnsi="宋体"/>
          <w:sz w:val="30"/>
          <w:szCs w:val="30"/>
        </w:rPr>
        <w:t>自动化系统</w:t>
      </w:r>
      <w:r>
        <w:rPr>
          <w:rFonts w:hint="eastAsia" w:hAnsi="宋体"/>
          <w:sz w:val="30"/>
          <w:szCs w:val="30"/>
        </w:rPr>
        <w:t>的数据通讯与运动仿真等。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：机械设计制造及其自动化、机械工程、机械电子工程、自动化,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：机械设计与制造、机械制造与自动化、数控技术、数控设备应用与维护、机电设备应用与维护等相关专业教师和实验室教学人员，每个学校每个赛项限报1～2人。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第一期培训时间：2020年8月2日（周日）至8月7日（周五），          8月2日接站、报到，8月7日结业、送站。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第二期培训时间：2020年8月22日（周六）至8月27日（周四），          8月22日接站、报到，8月27日结业、送站。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第三期培训时间：2020年9月16日（周三）至9月21日（周一），9月16日接站、报到，9月21日结业、送站。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注：（1）请准备参加培训班的院校尽快报名，第一期报名截止日期2020年7月30日（周四），第二期报名截止日期2020年8月19日（周三），第三期报名截止日期2020年9月11日（周五）。</w:t>
      </w:r>
    </w:p>
    <w:p>
      <w:pPr>
        <w:tabs>
          <w:tab w:val="left" w:pos="1440"/>
        </w:tabs>
        <w:spacing w:line="420" w:lineRule="exact"/>
        <w:ind w:firstLine="1200" w:firstLineChars="4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600"/>
        <w:rPr>
          <w:rFonts w:ascii="Times New Roman"/>
          <w:spacing w:val="-6"/>
          <w:sz w:val="30"/>
          <w:szCs w:val="30"/>
        </w:rPr>
      </w:pPr>
      <w:r>
        <w:rPr>
          <w:rFonts w:hint="eastAsia" w:hAnsi="宋体"/>
          <w:spacing w:val="-6"/>
          <w:sz w:val="30"/>
          <w:szCs w:val="30"/>
        </w:rPr>
        <w:t>（1）</w:t>
      </w:r>
      <w:r>
        <w:rPr>
          <w:rFonts w:ascii="Times New Roman"/>
          <w:spacing w:val="-6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6"/>
          <w:sz w:val="30"/>
          <w:szCs w:val="30"/>
        </w:rPr>
        <w:t>：</w:t>
      </w:r>
      <w:r>
        <w:rPr>
          <w:rFonts w:ascii="Times New Roman"/>
          <w:spacing w:val="-6"/>
          <w:sz w:val="30"/>
          <w:szCs w:val="30"/>
        </w:rPr>
        <w:t>2100元/人；</w:t>
      </w:r>
    </w:p>
    <w:p>
      <w:pPr>
        <w:tabs>
          <w:tab w:val="left" w:pos="720"/>
        </w:tabs>
        <w:spacing w:line="420" w:lineRule="exact"/>
        <w:ind w:right="900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（1）请准备参加培训的老师填写《第六届全国高等院校工程应用技术教师大赛“机电一体化数字孪生技术应用”培训班报名回执表》（报名回执表亦可登陆网站http://skills.tianhuang.cn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附件：第六届全国高等院校工程应用技术教师大赛“机电一体化数字孪生技术应用”赛项培训班报名回执表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浙江天煌科技实业有限公司                     </w:t>
      </w:r>
    </w:p>
    <w:p>
      <w:pPr>
        <w:spacing w:line="420" w:lineRule="exact"/>
        <w:ind w:right="600" w:firstLine="5864" w:firstLineChars="1947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第六届全国高等院校工程应用技术教师大赛“机电一体化数字孪生技术应用”赛项培训班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数控系统选择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三菱（   ）         西门子（  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bookmarkStart w:id="4" w:name="_GoBack"/>
            <w:bookmarkEnd w:id="4"/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/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7CF4"/>
    <w:multiLevelType w:val="multilevel"/>
    <w:tmpl w:val="20157CF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2020-06-02T01:24:20Z</dcterms:created>
  <dc:creator>TH-WL</dc:creator>
  <cp:lastModifiedBy>如约而至</cp:lastModifiedBy>
  <dcterms:modified xsi:type="dcterms:W3CDTF">2020-06-02T01:25:04Z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